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t>Кому: ________________________________________</w:t>
      </w:r>
    </w:p>
    <w:p>
      <w:pPr>
        <w:spacing w:after="40"/>
        <w:jc w:val="right"/>
      </w:pPr>
      <w:r>
        <w:rPr>
          <w:i/>
          <w:sz w:val="18"/>
        </w:rPr>
        <w:t>(ФИО виновника ДТП, адрес регистрации)</w:t>
      </w:r>
    </w:p>
    <w:p>
      <w:pPr>
        <w:spacing w:after="40"/>
        <w:jc w:val="right"/>
      </w:pPr>
      <w:r>
        <w:t>От: __________________________________________</w:t>
      </w:r>
    </w:p>
    <w:p>
      <w:pPr>
        <w:spacing w:after="40"/>
        <w:jc w:val="right"/>
      </w:pPr>
      <w:r>
        <w:rPr>
          <w:i/>
          <w:sz w:val="18"/>
        </w:rPr>
        <w:t>(ФИО потерпевшего, адрес, телефон, e-mail)</w:t>
      </w:r>
    </w:p>
    <w:p/>
    <w:p>
      <w:pPr>
        <w:jc w:val="center"/>
      </w:pPr>
      <w:r>
        <w:rPr>
          <w:b/>
          <w:sz w:val="26"/>
        </w:rPr>
        <w:t>ПРЕТЕНЗИЯ о возмещении ущерба, причинённого в результате ДТП (в части, превышающей страховое возмещение)</w:t>
      </w:r>
    </w:p>
    <w:p/>
    <w:p>
      <w:pPr>
        <w:spacing w:after="120"/>
        <w:ind w:firstLine="709"/>
        <w:jc w:val="both"/>
      </w:pPr>
      <w:r>
        <w:t>«___» ________ 20__ г. в ___ ч. ___ мин. по адресу: ________________________________ произошло дорожно-транспортное происшествие с участием автомобиля ____________________ (гос. рег. номер __________) под Вашим управлением и принадлежащего мне автомобиля ____________________ (гос. рег. номер __________, VIN __________________).</w:t>
      </w:r>
    </w:p>
    <w:p>
      <w:pPr>
        <w:spacing w:after="120"/>
        <w:ind w:firstLine="709"/>
        <w:jc w:val="both"/>
      </w:pPr>
      <w:r>
        <w:t>Ваша вина в ДТП подтверждается ________________________________ (постановление по делу об административном правонарушении № ____ от ________ / определение / извещение о ДТП).</w:t>
      </w:r>
    </w:p>
    <w:p>
      <w:pPr>
        <w:spacing w:after="120"/>
        <w:ind w:firstLine="709"/>
        <w:jc w:val="both"/>
      </w:pPr>
      <w:r>
        <w:t>Страховая компания ________________ признала случай страховым и выплатила мне страховое возмещение по договору ОСАГО в размере __________ руб. Указанная выплата рассчитана по Единой методике Банка России с учётом износа комплектующих изделий и не покрывает фактическую стоимость восстановительного ремонта.</w:t>
      </w:r>
    </w:p>
    <w:p>
      <w:pPr>
        <w:spacing w:after="120"/>
        <w:ind w:firstLine="709"/>
        <w:jc w:val="both"/>
      </w:pPr>
      <w:r>
        <w:t>Согласно заключению независимой экспертизы № ____ от «___» ________ 20__ г., составленному по среднерыночным ценам без учёта износа (Методические рекомендации Минюста России, 2018), стоимость восстановительного ремонта моего автомобиля составляет __________ руб. Таким образом, невозмещённая часть ущерба составляет __________ руб. (расчёт: фактическая стоимость ремонта − страховая выплата).</w:t>
      </w:r>
    </w:p>
    <w:p>
      <w:pPr>
        <w:spacing w:after="120"/>
        <w:ind w:firstLine="709"/>
        <w:jc w:val="both"/>
      </w:pPr>
      <w:r>
        <w:t>В силу ст. 15 Гражданского кодекса РФ лицо, право которого нарушено, может требовать полного возмещения причинённых ему убытков. Согласно п. 1 ст. 1064 ГК РФ вред, причинённый имуществу гражданина, подлежит возмещению в полном объёме лицом, причинившим вред. На основании ст. 1072 ГК РФ гражданин, застраховавший свою ответственность в порядке обязательного страхования, в случае, когда страховое возмещение недостаточно для полного возмещения причинённого вреда, возмещает разницу между страховым возмещением и фактическим размером ущерба (также п. 1 ст. 1079 ГК РФ).</w:t>
      </w:r>
    </w:p>
    <w:p>
      <w:pPr>
        <w:spacing w:after="120"/>
        <w:ind w:firstLine="709"/>
        <w:jc w:val="both"/>
      </w:pPr>
      <w:r>
        <w:t>Постановлением Конституционного Суда РФ от 10.03.2017 № 6-П подтверждено право потерпевшего требовать от причинителя вреда возмещения расходов на полное восстановление эксплуатационных и товарных характеристик автомобиля — по рыночным ценам и без учёта износа заменяемых деталей; замена повреждённых деталей новыми не образует неосновательного обогащения потерпевшего.</w:t>
      </w:r>
    </w:p>
    <w:p>
      <w:pPr>
        <w:spacing w:after="120"/>
        <w:ind w:firstLine="709"/>
        <w:jc w:val="both"/>
      </w:pPr>
      <w:r>
        <w:t>Согласно п. 65 постановления Пленума Верховного Суда РФ от 08.11.2022 № 31 «О применении судами законодательства об обязательном страховании гражданской ответственности владельцев транспортных средств» с причинителя вреда взыскивается разница между фактическим размером ущерба и надлежащим размером страхового возмещения. Аналогичная позиция изложена в п. 13 постановления Пленума Верховного Суда РФ от 23.06.2015 № 25: в состав реального ущерба входят расходы на новые материалы для устранения повреждений.</w:t>
      </w:r>
    </w:p>
    <w:p>
      <w:pPr>
        <w:spacing w:after="120"/>
        <w:ind w:firstLine="709"/>
        <w:jc w:val="both"/>
      </w:pPr>
      <w:r>
        <w:t>На основании изложенного ПРОШУ (ТРЕБУЮ) в срок не позднее 10 (десяти) календарных дней с момента получения настоящей претензии возместить причинённый мне ущерб в полном объёме — в размере __________ руб., а также расходы на проведение независимой экспертизы в размере __________ руб. и расходы на уведомление телеграммой __________ руб., перечислив денежные средства по следующим реквизитам: ________________________________.</w:t>
      </w:r>
    </w:p>
    <w:p>
      <w:pPr>
        <w:spacing w:after="120"/>
        <w:ind w:firstLine="709"/>
        <w:jc w:val="both"/>
      </w:pPr>
      <w:r>
        <w:t>В случае отказа или оставления претензии без ответа буду вынужден(а) обратиться в суд с иском о взыскании указанных сумм, а также расходов по уплате государственной пошлины, расходов на юридические услуги и процентов за пользование чужими денежными средствами (ст. 395 ГК РФ). Обращаю внимание, что судебная практика по данной категории споров устойчиво складывается в пользу потерпевших.</w:t>
      </w:r>
    </w:p>
    <w:p>
      <w:pPr>
        <w:spacing w:after="120"/>
        <w:ind w:firstLine="709"/>
        <w:jc w:val="both"/>
      </w:pPr>
      <w:r>
        <w:t>Приложения: 1) копия заключения независимой экспертизы; 2) копии документов ГИБДД о ДТП; 3) подтверждение размера выплаты страховщика; 4) копия телеграммы о вызове на осмотр; 5) банковские реквизиты.</w:t>
      </w:r>
    </w:p>
    <w:p/>
    <w:p>
      <w:r>
        <w:t>«___» ________ 20__ г.        Подпись: ______________ / ________________________ /</w:t>
      </w:r>
    </w:p>
    <w:p/>
    <w:p>
      <w:r>
        <w:rPr>
          <w:b/>
          <w:sz w:val="18"/>
        </w:rPr>
        <w:t>Правовые основания (полные тексты):</w:t>
      </w:r>
    </w:p>
    <w:p>
      <w:pPr>
        <w:spacing w:after="40"/>
      </w:pPr>
      <w:r>
        <w:rPr>
          <w:sz w:val="18"/>
        </w:rPr>
        <w:t xml:space="preserve">— </w:t>
      </w:r>
      <w:hyperlink r:id="rId9">
        <w:r>
          <w:rPr>
            <w:color w:val="0563C1"/>
            <w:u w:val="single"/>
            <w:sz w:val="18"/>
          </w:rPr>
          <w:t>Гражданский кодекс РФ, часть первая — ст. 15 (полное возмещение убытков)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0">
        <w:r>
          <w:rPr>
            <w:color w:val="0563C1"/>
            <w:u w:val="single"/>
            <w:sz w:val="18"/>
          </w:rPr>
          <w:t>Гражданский кодекс РФ, часть вторая — ст. 1064, 1072, 1079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1">
        <w:r>
          <w:rPr>
            <w:color w:val="0563C1"/>
            <w:u w:val="single"/>
            <w:sz w:val="18"/>
          </w:rPr>
          <w:t>Постановление Конституционного Суда РФ от 10.03.2017 № 6-П (возмещение без учёта износа)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2">
        <w:r>
          <w:rPr>
            <w:color w:val="0563C1"/>
            <w:u w:val="single"/>
            <w:sz w:val="18"/>
          </w:rPr>
          <w:t>Постановление Пленума Верховного Суда РФ от 08.11.2022 № 31, п. 63–65 (официальный текст)</w:t>
        </w:r>
      </w:hyperlink>
    </w:p>
    <w:p>
      <w:r>
        <w:rPr>
          <w:i/>
          <w:sz w:val="16"/>
        </w:rPr>
        <w:t>Образец подготовлен AUTOBRAK.com — независимая авто-экспертиза (Москва и МО, +7 (495) 771-24-46). Носит информационный характер и адаптируется под конкретную ситуацию.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onsultant.ru/document/cons_doc_LAW_5142/" TargetMode="External"/><Relationship Id="rId10" Type="http://schemas.openxmlformats.org/officeDocument/2006/relationships/hyperlink" Target="https://www.consultant.ru/document/cons_doc_LAW_9027/" TargetMode="External"/><Relationship Id="rId11" Type="http://schemas.openxmlformats.org/officeDocument/2006/relationships/hyperlink" Target="https://www.consultant.ru/document/cons_doc_LAW_213932/" TargetMode="External"/><Relationship Id="rId12" Type="http://schemas.openxmlformats.org/officeDocument/2006/relationships/hyperlink" Target="https://www.vsrf.ru/documents/own/337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